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53A4" w:rsidRDefault="000353A4" w:rsidP="000353A4">
      <w:pPr>
        <w:jc w:val="center"/>
      </w:pPr>
      <w:r>
        <w:t xml:space="preserve">  </w:t>
      </w:r>
    </w:p>
    <w:p w:rsidR="000353A4" w:rsidRDefault="000353A4" w:rsidP="000353A4">
      <w:pPr>
        <w:jc w:val="center"/>
      </w:pPr>
    </w:p>
    <w:p w:rsidR="000353A4" w:rsidRDefault="000353A4" w:rsidP="000353A4">
      <w:pPr>
        <w:jc w:val="center"/>
      </w:pPr>
    </w:p>
    <w:p w:rsidR="000353A4" w:rsidRDefault="000353A4" w:rsidP="000353A4">
      <w:pPr>
        <w:jc w:val="center"/>
      </w:pPr>
    </w:p>
    <w:p w:rsidR="000353A4" w:rsidRDefault="000353A4" w:rsidP="000353A4">
      <w:pPr>
        <w:jc w:val="center"/>
      </w:pPr>
    </w:p>
    <w:p w:rsidR="000353A4" w:rsidRDefault="000353A4" w:rsidP="000353A4">
      <w:pPr>
        <w:jc w:val="center"/>
      </w:pPr>
    </w:p>
    <w:p w:rsidR="00A66241" w:rsidRDefault="000353A4" w:rsidP="000353A4">
      <w:pPr>
        <w:jc w:val="center"/>
      </w:pPr>
      <w:r>
        <w:t xml:space="preserve">Equal Employment Opportunity Commission </w:t>
      </w:r>
    </w:p>
    <w:p w:rsidR="000353A4" w:rsidRDefault="000353A4" w:rsidP="000353A4">
      <w:pPr>
        <w:jc w:val="center"/>
      </w:pPr>
      <w:r>
        <w:t>Name</w:t>
      </w:r>
    </w:p>
    <w:p w:rsidR="000353A4" w:rsidRDefault="000353A4" w:rsidP="000353A4">
      <w:pPr>
        <w:jc w:val="center"/>
      </w:pPr>
      <w:r>
        <w:t xml:space="preserve">Institution of Affiliation </w:t>
      </w:r>
    </w:p>
    <w:p w:rsidR="000353A4" w:rsidRDefault="000353A4" w:rsidP="000353A4">
      <w:pPr>
        <w:jc w:val="center"/>
      </w:pPr>
      <w:r>
        <w:t>Professor</w:t>
      </w:r>
    </w:p>
    <w:p w:rsidR="000353A4" w:rsidRDefault="000353A4" w:rsidP="000353A4">
      <w:pPr>
        <w:jc w:val="center"/>
      </w:pPr>
      <w:r>
        <w:t xml:space="preserve">Date </w:t>
      </w:r>
    </w:p>
    <w:p w:rsidR="000353A4" w:rsidRDefault="000353A4" w:rsidP="000353A4">
      <w:pPr>
        <w:jc w:val="center"/>
      </w:pPr>
    </w:p>
    <w:p w:rsidR="000353A4" w:rsidRDefault="000353A4" w:rsidP="000353A4">
      <w:pPr>
        <w:jc w:val="center"/>
      </w:pPr>
    </w:p>
    <w:p w:rsidR="000353A4" w:rsidRDefault="000353A4" w:rsidP="000353A4">
      <w:pPr>
        <w:jc w:val="center"/>
      </w:pPr>
    </w:p>
    <w:p w:rsidR="000353A4" w:rsidRDefault="000353A4" w:rsidP="000353A4">
      <w:pPr>
        <w:jc w:val="center"/>
      </w:pPr>
    </w:p>
    <w:p w:rsidR="000353A4" w:rsidRDefault="000353A4" w:rsidP="000353A4">
      <w:pPr>
        <w:jc w:val="center"/>
      </w:pPr>
    </w:p>
    <w:p w:rsidR="000353A4" w:rsidRDefault="000353A4" w:rsidP="000353A4">
      <w:pPr>
        <w:jc w:val="center"/>
      </w:pPr>
    </w:p>
    <w:p w:rsidR="000353A4" w:rsidRDefault="000353A4" w:rsidP="000353A4">
      <w:pPr>
        <w:jc w:val="center"/>
      </w:pPr>
    </w:p>
    <w:p w:rsidR="000353A4" w:rsidRDefault="000353A4" w:rsidP="000353A4">
      <w:pPr>
        <w:jc w:val="center"/>
      </w:pPr>
    </w:p>
    <w:p w:rsidR="000353A4" w:rsidRDefault="000353A4" w:rsidP="000353A4">
      <w:pPr>
        <w:jc w:val="center"/>
      </w:pPr>
    </w:p>
    <w:p w:rsidR="000353A4" w:rsidRDefault="000353A4" w:rsidP="000353A4">
      <w:pPr>
        <w:jc w:val="center"/>
      </w:pPr>
    </w:p>
    <w:p w:rsidR="000353A4" w:rsidRDefault="000353A4" w:rsidP="000353A4">
      <w:pPr>
        <w:jc w:val="center"/>
      </w:pPr>
    </w:p>
    <w:p w:rsidR="000353A4" w:rsidRDefault="000353A4" w:rsidP="000353A4">
      <w:pPr>
        <w:jc w:val="center"/>
      </w:pPr>
    </w:p>
    <w:p w:rsidR="00FA6F1B" w:rsidRPr="00FA6F1B" w:rsidRDefault="00FA6F1B" w:rsidP="000353A4">
      <w:pPr>
        <w:jc w:val="center"/>
      </w:pPr>
      <w:r>
        <w:lastRenderedPageBreak/>
        <w:t xml:space="preserve">Equal Employment Opportunity Commission </w:t>
      </w:r>
    </w:p>
    <w:p w:rsidR="000353A4" w:rsidRDefault="000353A4" w:rsidP="000353A4">
      <w:pPr>
        <w:jc w:val="center"/>
        <w:rPr>
          <w:b/>
        </w:rPr>
      </w:pPr>
      <w:r>
        <w:rPr>
          <w:b/>
        </w:rPr>
        <w:t>Roles of EEOC in workplace</w:t>
      </w:r>
    </w:p>
    <w:p w:rsidR="006B454A" w:rsidRDefault="006B454A" w:rsidP="00591892">
      <w:pPr>
        <w:pStyle w:val="NormalWeb"/>
        <w:spacing w:before="0" w:beforeAutospacing="0" w:after="0" w:afterAutospacing="0" w:line="480" w:lineRule="auto"/>
        <w:ind w:firstLine="720"/>
        <w:rPr>
          <w:color w:val="0E101A"/>
        </w:rPr>
      </w:pPr>
      <w:r>
        <w:rPr>
          <w:color w:val="0E101A"/>
        </w:rPr>
        <w:t xml:space="preserve">The Equal Employment Opportunity Commission is a governmental agency created by the Human Rights Act of 1964 and whose drive is to enforce laws against discrimination, especially in workplaces (Fleischer, 2018). To carry out its purpose diligently, the agency offers equal opportunities to the federal workers, hold hearings, regulate the interpretation of its laws as well as files discrimination cases among other activities (Kenton, 2019). The EEOC has several responsibilities regarding its responsibility for the administering civil rights laws in workplaces (IRS. </w:t>
      </w:r>
      <w:proofErr w:type="gramStart"/>
      <w:r>
        <w:rPr>
          <w:color w:val="0E101A"/>
        </w:rPr>
        <w:t>(</w:t>
      </w:r>
      <w:proofErr w:type="spellStart"/>
      <w:r>
        <w:rPr>
          <w:color w:val="0E101A"/>
        </w:rPr>
        <w:t>n.d.</w:t>
      </w:r>
      <w:proofErr w:type="spellEnd"/>
      <w:r>
        <w:rPr>
          <w:color w:val="0E101A"/>
        </w:rPr>
        <w:t>).</w:t>
      </w:r>
      <w:proofErr w:type="gramEnd"/>
      <w:r>
        <w:rPr>
          <w:color w:val="0E101A"/>
        </w:rPr>
        <w:t xml:space="preserve"> The primary role of EEOC is regulating and guidance, especially when relevant rules are established. Amended or new procedures are developed to emphasis workers’ rights. EEOC is subjected to clarify specific words used in the statue as well as filling in the gaps left by the Supreme Court or the Congress to ensure that employers and employees have clearly defined laws to guide them. Apart from regulating the employees’ rules, the EEOC also oversees how specific regulations should be deployed in exceptional cases (MBO Partners, 2019). For example, it is the role of the EEOC to guide how to use the criminal record in hiring a lawyer or the ADA to a worker considered too mentally unstable.</w:t>
      </w:r>
    </w:p>
    <w:p w:rsidR="006B454A" w:rsidRDefault="006B454A" w:rsidP="00FA6F1B">
      <w:pPr>
        <w:pStyle w:val="NormalWeb"/>
        <w:spacing w:before="0" w:beforeAutospacing="0" w:after="0" w:afterAutospacing="0" w:line="480" w:lineRule="auto"/>
        <w:ind w:firstLine="720"/>
        <w:jc w:val="center"/>
        <w:rPr>
          <w:color w:val="0E101A"/>
        </w:rPr>
      </w:pPr>
      <w:r>
        <w:rPr>
          <w:rStyle w:val="Strong"/>
          <w:color w:val="0E101A"/>
        </w:rPr>
        <w:t xml:space="preserve">Typical </w:t>
      </w:r>
      <w:r w:rsidR="00591892">
        <w:rPr>
          <w:rStyle w:val="Strong"/>
          <w:color w:val="0E101A"/>
        </w:rPr>
        <w:t xml:space="preserve">Forms of Discrimination under </w:t>
      </w:r>
      <w:r>
        <w:rPr>
          <w:rStyle w:val="Strong"/>
          <w:color w:val="0E101A"/>
        </w:rPr>
        <w:t>EEOC</w:t>
      </w:r>
    </w:p>
    <w:p w:rsidR="006B454A" w:rsidRDefault="006B454A" w:rsidP="00591892">
      <w:pPr>
        <w:pStyle w:val="NormalWeb"/>
        <w:spacing w:before="0" w:beforeAutospacing="0" w:after="0" w:afterAutospacing="0" w:line="480" w:lineRule="auto"/>
        <w:ind w:firstLine="720"/>
        <w:rPr>
          <w:color w:val="0E101A"/>
        </w:rPr>
      </w:pPr>
      <w:r>
        <w:rPr>
          <w:color w:val="0E101A"/>
        </w:rPr>
        <w:t xml:space="preserve">Consequently, there are specific forms of discrimination that the EEOC agency has outlined and are treated as severe crimes in place of work. The first form is age discrimination. Age discrimination is whereby an employee is treated differently from other employees due to difference in age (Office of Child Support Enforcement, 2018). Most people who are discriminated to treated </w:t>
      </w:r>
      <w:proofErr w:type="spellStart"/>
      <w:r>
        <w:rPr>
          <w:color w:val="0E101A"/>
        </w:rPr>
        <w:t>favourably</w:t>
      </w:r>
      <w:proofErr w:type="spellEnd"/>
      <w:r>
        <w:rPr>
          <w:color w:val="0E101A"/>
        </w:rPr>
        <w:t xml:space="preserve"> are the employees over 40years or below 16 years of age. A situation whereby the manager is over 40 years and has at least one employee who is of the same </w:t>
      </w:r>
      <w:r>
        <w:rPr>
          <w:color w:val="0E101A"/>
        </w:rPr>
        <w:lastRenderedPageBreak/>
        <w:t xml:space="preserve">period, he may be forced to treat him/her differently from other younger workers (Gould, 2012). However, the Age Discrimination Employment Act forbid the employers against </w:t>
      </w:r>
      <w:proofErr w:type="spellStart"/>
      <w:r>
        <w:rPr>
          <w:color w:val="0E101A"/>
        </w:rPr>
        <w:t>favouring</w:t>
      </w:r>
      <w:proofErr w:type="spellEnd"/>
      <w:r>
        <w:rPr>
          <w:color w:val="0E101A"/>
        </w:rPr>
        <w:t xml:space="preserve"> or discriminating specific aged people in employment activities such as hiring, firing, payment lay off, among other activities (</w:t>
      </w:r>
      <w:proofErr w:type="spellStart"/>
      <w:r>
        <w:rPr>
          <w:color w:val="0E101A"/>
        </w:rPr>
        <w:t>Bensinger</w:t>
      </w:r>
      <w:proofErr w:type="spellEnd"/>
      <w:r>
        <w:rPr>
          <w:color w:val="0E101A"/>
        </w:rPr>
        <w:t>, 2018).</w:t>
      </w:r>
    </w:p>
    <w:p w:rsidR="006B454A" w:rsidRDefault="006B454A" w:rsidP="00591892">
      <w:pPr>
        <w:pStyle w:val="NormalWeb"/>
        <w:spacing w:before="0" w:beforeAutospacing="0" w:after="0" w:afterAutospacing="0" w:line="480" w:lineRule="auto"/>
        <w:ind w:firstLine="720"/>
        <w:rPr>
          <w:color w:val="0E101A"/>
        </w:rPr>
      </w:pPr>
      <w:r>
        <w:rPr>
          <w:color w:val="0E101A"/>
        </w:rPr>
        <w:t xml:space="preserve">Secondly, sexual harassment is another common form of discrimination, according to EEOC. Sexual harassment can be defined as unlawful approach made towards an applicant or an employee to ask sexual </w:t>
      </w:r>
      <w:proofErr w:type="spellStart"/>
      <w:r>
        <w:rPr>
          <w:color w:val="0E101A"/>
        </w:rPr>
        <w:t>favours</w:t>
      </w:r>
      <w:proofErr w:type="spellEnd"/>
      <w:r>
        <w:rPr>
          <w:color w:val="0E101A"/>
        </w:rPr>
        <w:t>, sexual advances in verbal, gesture or physical manner. Both genders can be victims of sexual harassment. Although the agency does not prohibit simple teasing or informal comments, such a situation tends to create an uncomfortable environment for employees or employers.</w:t>
      </w:r>
    </w:p>
    <w:p w:rsidR="006B454A" w:rsidRDefault="006B454A" w:rsidP="00591892">
      <w:pPr>
        <w:pStyle w:val="NormalWeb"/>
        <w:spacing w:before="0" w:beforeAutospacing="0" w:after="0" w:afterAutospacing="0" w:line="480" w:lineRule="auto"/>
        <w:jc w:val="center"/>
        <w:rPr>
          <w:color w:val="0E101A"/>
        </w:rPr>
      </w:pPr>
      <w:bookmarkStart w:id="0" w:name="_GoBack"/>
      <w:bookmarkEnd w:id="0"/>
      <w:r>
        <w:rPr>
          <w:rStyle w:val="Strong"/>
          <w:color w:val="0E101A"/>
        </w:rPr>
        <w:t xml:space="preserve">Personal </w:t>
      </w:r>
      <w:r w:rsidR="00591892">
        <w:rPr>
          <w:rStyle w:val="Strong"/>
          <w:color w:val="0E101A"/>
        </w:rPr>
        <w:t>Experience of Discrimination</w:t>
      </w:r>
    </w:p>
    <w:p w:rsidR="006B454A" w:rsidRDefault="006B454A" w:rsidP="00591892">
      <w:pPr>
        <w:pStyle w:val="NormalWeb"/>
        <w:spacing w:before="0" w:beforeAutospacing="0" w:after="0" w:afterAutospacing="0" w:line="480" w:lineRule="auto"/>
        <w:ind w:firstLine="720"/>
        <w:rPr>
          <w:color w:val="0E101A"/>
        </w:rPr>
      </w:pPr>
      <w:r>
        <w:rPr>
          <w:color w:val="0E101A"/>
        </w:rPr>
        <w:t>Such cases of discrimination in workplaces are not new to our own experiences. It was during a winter when I went to Mexico to visit my grandparents. The holiday was too long, and I thought of looking for a job to keep me busy during the day as I had no friends yet. I got an opportunity in the food store where the manager assigned me regular duties like the rest of the workers. At day time there would be three workers in which one would cook, the other one serves the customers, and the third one would be washing the dishes. We would alternate the duties such that in the morning I would be other one cooking, in the afternoon I would do the dishes, and in the evening I would serve the customers. However, due to my age, I would receive less pay than my colleague at the end of the day. I always went home tired, demotivated and unhappy person. Every morning I thought of resigning from the job since I did not feel satisfied with the treatment. At times I developed a self-</w:t>
      </w:r>
      <w:proofErr w:type="spellStart"/>
      <w:r>
        <w:rPr>
          <w:color w:val="0E101A"/>
        </w:rPr>
        <w:t>defence</w:t>
      </w:r>
      <w:proofErr w:type="spellEnd"/>
      <w:r>
        <w:rPr>
          <w:color w:val="0E101A"/>
        </w:rPr>
        <w:t xml:space="preserve"> mechanism and complained of too much work with less pay. With time my motivation to cook delicious food or to serve the customers </w:t>
      </w:r>
      <w:r>
        <w:rPr>
          <w:color w:val="0E101A"/>
        </w:rPr>
        <w:lastRenderedPageBreak/>
        <w:t>with a smile faded. That is worked for the sake of working. I thought we deserved equal pay since the workload was equivalent.</w:t>
      </w:r>
    </w:p>
    <w:p w:rsidR="00C61DEB" w:rsidRDefault="00C61DEB" w:rsidP="00FA6F1B">
      <w:pPr>
        <w:ind w:firstLine="720"/>
        <w:jc w:val="both"/>
      </w:pPr>
    </w:p>
    <w:p w:rsidR="00FA6F1B" w:rsidRDefault="00FA6F1B" w:rsidP="00C61DEB">
      <w:pPr>
        <w:jc w:val="center"/>
      </w:pPr>
    </w:p>
    <w:p w:rsidR="00FA6F1B" w:rsidRDefault="00FA6F1B" w:rsidP="00C61DEB">
      <w:pPr>
        <w:jc w:val="center"/>
      </w:pPr>
    </w:p>
    <w:p w:rsidR="00FA6F1B" w:rsidRDefault="00FA6F1B" w:rsidP="00C61DEB">
      <w:pPr>
        <w:jc w:val="center"/>
      </w:pPr>
    </w:p>
    <w:p w:rsidR="00FA6F1B" w:rsidRDefault="00FA6F1B" w:rsidP="00C61DEB">
      <w:pPr>
        <w:jc w:val="center"/>
      </w:pPr>
    </w:p>
    <w:p w:rsidR="00FA6F1B" w:rsidRDefault="00FA6F1B" w:rsidP="00C61DEB">
      <w:pPr>
        <w:jc w:val="center"/>
      </w:pPr>
    </w:p>
    <w:p w:rsidR="00FA6F1B" w:rsidRDefault="00FA6F1B" w:rsidP="00C61DEB">
      <w:pPr>
        <w:jc w:val="center"/>
      </w:pPr>
    </w:p>
    <w:p w:rsidR="00FA6F1B" w:rsidRDefault="00FA6F1B" w:rsidP="00C61DEB">
      <w:pPr>
        <w:jc w:val="center"/>
      </w:pPr>
    </w:p>
    <w:p w:rsidR="00FA6F1B" w:rsidRDefault="00FA6F1B" w:rsidP="00C61DEB">
      <w:pPr>
        <w:jc w:val="center"/>
      </w:pPr>
    </w:p>
    <w:p w:rsidR="00FA6F1B" w:rsidRDefault="00FA6F1B" w:rsidP="00C61DEB">
      <w:pPr>
        <w:jc w:val="center"/>
      </w:pPr>
    </w:p>
    <w:p w:rsidR="00FA6F1B" w:rsidRDefault="00FA6F1B" w:rsidP="00C61DEB">
      <w:pPr>
        <w:jc w:val="center"/>
      </w:pPr>
    </w:p>
    <w:p w:rsidR="00FA6F1B" w:rsidRDefault="00FA6F1B" w:rsidP="00C61DEB">
      <w:pPr>
        <w:jc w:val="center"/>
      </w:pPr>
    </w:p>
    <w:p w:rsidR="00FA6F1B" w:rsidRDefault="00FA6F1B" w:rsidP="00C61DEB">
      <w:pPr>
        <w:jc w:val="center"/>
      </w:pPr>
    </w:p>
    <w:p w:rsidR="00FA6F1B" w:rsidRDefault="00FA6F1B" w:rsidP="00C61DEB">
      <w:pPr>
        <w:jc w:val="center"/>
      </w:pPr>
    </w:p>
    <w:p w:rsidR="00FA6F1B" w:rsidRDefault="00FA6F1B" w:rsidP="00C61DEB">
      <w:pPr>
        <w:jc w:val="center"/>
      </w:pPr>
    </w:p>
    <w:p w:rsidR="00FA6F1B" w:rsidRDefault="00FA6F1B" w:rsidP="00C61DEB">
      <w:pPr>
        <w:jc w:val="center"/>
      </w:pPr>
    </w:p>
    <w:p w:rsidR="00FA6F1B" w:rsidRDefault="00FA6F1B" w:rsidP="00C61DEB">
      <w:pPr>
        <w:jc w:val="center"/>
      </w:pPr>
    </w:p>
    <w:p w:rsidR="00FA6F1B" w:rsidRDefault="00FA6F1B" w:rsidP="00C61DEB">
      <w:pPr>
        <w:jc w:val="center"/>
      </w:pPr>
    </w:p>
    <w:p w:rsidR="00FA6F1B" w:rsidRDefault="00FA6F1B" w:rsidP="00C61DEB">
      <w:pPr>
        <w:jc w:val="center"/>
      </w:pPr>
    </w:p>
    <w:p w:rsidR="00FA6F1B" w:rsidRDefault="00FA6F1B" w:rsidP="00C61DEB">
      <w:pPr>
        <w:jc w:val="center"/>
      </w:pPr>
    </w:p>
    <w:p w:rsidR="00FA6F1B" w:rsidRDefault="00FA6F1B" w:rsidP="00C61DEB">
      <w:pPr>
        <w:jc w:val="center"/>
      </w:pPr>
    </w:p>
    <w:p w:rsidR="00C61DEB" w:rsidRDefault="00C61DEB" w:rsidP="00C61DEB">
      <w:pPr>
        <w:jc w:val="center"/>
      </w:pPr>
      <w:r>
        <w:lastRenderedPageBreak/>
        <w:t xml:space="preserve">References </w:t>
      </w:r>
    </w:p>
    <w:p w:rsidR="006B454A" w:rsidRPr="009A6785" w:rsidRDefault="006B454A" w:rsidP="006B45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Courier New" w:eastAsia="Times New Roman" w:hAnsi="Courier New" w:cs="Courier New"/>
          <w:color w:val="000000"/>
          <w:sz w:val="20"/>
          <w:szCs w:val="20"/>
        </w:rPr>
      </w:pPr>
    </w:p>
    <w:p w:rsidR="00FA6F1B" w:rsidRPr="006B454A" w:rsidRDefault="00FA6F1B" w:rsidP="006B45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hanging="720"/>
        <w:rPr>
          <w:rFonts w:eastAsia="Times New Roman" w:cs="Times New Roman"/>
          <w:color w:val="000000"/>
          <w:szCs w:val="24"/>
        </w:rPr>
      </w:pPr>
      <w:proofErr w:type="spellStart"/>
      <w:r w:rsidRPr="006B454A">
        <w:rPr>
          <w:rFonts w:eastAsia="Times New Roman" w:cs="Times New Roman"/>
          <w:color w:val="000000"/>
          <w:szCs w:val="24"/>
        </w:rPr>
        <w:t>Bensinger</w:t>
      </w:r>
      <w:proofErr w:type="spellEnd"/>
      <w:r w:rsidRPr="006B454A">
        <w:rPr>
          <w:rFonts w:eastAsia="Times New Roman" w:cs="Times New Roman"/>
          <w:color w:val="000000"/>
          <w:szCs w:val="24"/>
        </w:rPr>
        <w:t xml:space="preserve">, G. (2018, September 26). </w:t>
      </w:r>
      <w:proofErr w:type="spellStart"/>
      <w:r w:rsidRPr="006B454A">
        <w:rPr>
          <w:rFonts w:eastAsia="Times New Roman" w:cs="Times New Roman"/>
          <w:color w:val="000000"/>
          <w:szCs w:val="24"/>
        </w:rPr>
        <w:t>Uber</w:t>
      </w:r>
      <w:proofErr w:type="spellEnd"/>
      <w:r w:rsidRPr="006B454A">
        <w:rPr>
          <w:rFonts w:eastAsia="Times New Roman" w:cs="Times New Roman"/>
          <w:color w:val="000000"/>
          <w:szCs w:val="24"/>
        </w:rPr>
        <w:t xml:space="preserve"> wins course appeal over drivers’ working classification. </w:t>
      </w:r>
      <w:proofErr w:type="gramStart"/>
      <w:r w:rsidRPr="006B454A">
        <w:rPr>
          <w:rFonts w:eastAsia="Times New Roman" w:cs="Times New Roman"/>
          <w:color w:val="000000"/>
          <w:szCs w:val="24"/>
        </w:rPr>
        <w:t>The Wall Street Journal.</w:t>
      </w:r>
      <w:proofErr w:type="gramEnd"/>
      <w:r>
        <w:rPr>
          <w:rFonts w:eastAsia="Times New Roman" w:cs="Times New Roman"/>
          <w:color w:val="000000"/>
          <w:szCs w:val="24"/>
        </w:rPr>
        <w:t xml:space="preserve"> </w:t>
      </w:r>
    </w:p>
    <w:p w:rsidR="00FA6F1B" w:rsidRPr="006B454A" w:rsidRDefault="00FA6F1B" w:rsidP="006B45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hanging="720"/>
        <w:rPr>
          <w:rFonts w:eastAsia="Times New Roman" w:cs="Times New Roman"/>
          <w:color w:val="000000"/>
          <w:szCs w:val="24"/>
        </w:rPr>
      </w:pPr>
      <w:r w:rsidRPr="006B454A">
        <w:rPr>
          <w:rFonts w:eastAsia="Times New Roman" w:cs="Times New Roman"/>
          <w:color w:val="000000"/>
          <w:szCs w:val="24"/>
        </w:rPr>
        <w:t xml:space="preserve">Fleischer, C. (2018). </w:t>
      </w:r>
      <w:proofErr w:type="gramStart"/>
      <w:r w:rsidRPr="006B454A">
        <w:rPr>
          <w:rFonts w:eastAsia="Times New Roman" w:cs="Times New Roman"/>
          <w:color w:val="000000"/>
          <w:szCs w:val="24"/>
        </w:rPr>
        <w:t>The SHRM essential guide to employment law.</w:t>
      </w:r>
      <w:proofErr w:type="gramEnd"/>
      <w:r w:rsidRPr="006B454A">
        <w:rPr>
          <w:rFonts w:eastAsia="Times New Roman" w:cs="Times New Roman"/>
          <w:color w:val="000000"/>
          <w:szCs w:val="24"/>
        </w:rPr>
        <w:t xml:space="preserve"> Alexandria, VA: Society for Human Resource Management.</w:t>
      </w:r>
    </w:p>
    <w:p w:rsidR="00FA6F1B" w:rsidRPr="006B454A" w:rsidRDefault="00FA6F1B" w:rsidP="006B45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hanging="720"/>
        <w:rPr>
          <w:rFonts w:eastAsia="Times New Roman" w:cs="Times New Roman"/>
          <w:color w:val="000000"/>
          <w:szCs w:val="24"/>
        </w:rPr>
      </w:pPr>
      <w:proofErr w:type="gramStart"/>
      <w:r w:rsidRPr="006B454A">
        <w:rPr>
          <w:rFonts w:eastAsia="Times New Roman" w:cs="Times New Roman"/>
          <w:color w:val="000000"/>
          <w:szCs w:val="24"/>
        </w:rPr>
        <w:t>Gould, T. (2012).</w:t>
      </w:r>
      <w:proofErr w:type="gramEnd"/>
      <w:r w:rsidRPr="006B454A">
        <w:rPr>
          <w:rFonts w:eastAsia="Times New Roman" w:cs="Times New Roman"/>
          <w:color w:val="000000"/>
          <w:szCs w:val="24"/>
        </w:rPr>
        <w:t xml:space="preserve"> EEOC’s new database could be a useful tool for HR. Retrieved from </w:t>
      </w:r>
      <w:hyperlink r:id="rId7" w:history="1">
        <w:r w:rsidRPr="004E4780">
          <w:rPr>
            <w:rStyle w:val="Hyperlink"/>
            <w:rFonts w:eastAsia="Times New Roman" w:cs="Times New Roman"/>
            <w:szCs w:val="24"/>
          </w:rPr>
          <w:t>https://www.hrmorning.com/articles/eeocs-new-database-could-be-a-useful-tool-for-hr/</w:t>
        </w:r>
      </w:hyperlink>
      <w:r>
        <w:rPr>
          <w:rFonts w:eastAsia="Times New Roman" w:cs="Times New Roman"/>
          <w:color w:val="000000"/>
          <w:szCs w:val="24"/>
        </w:rPr>
        <w:t xml:space="preserve"> </w:t>
      </w:r>
    </w:p>
    <w:p w:rsidR="00FA6F1B" w:rsidRPr="006B454A" w:rsidRDefault="00FA6F1B" w:rsidP="006B45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hanging="720"/>
        <w:rPr>
          <w:rFonts w:eastAsia="Times New Roman" w:cs="Times New Roman"/>
          <w:color w:val="000000"/>
          <w:szCs w:val="24"/>
        </w:rPr>
      </w:pPr>
      <w:proofErr w:type="gramStart"/>
      <w:r w:rsidRPr="006B454A">
        <w:rPr>
          <w:rFonts w:eastAsia="Times New Roman" w:cs="Times New Roman"/>
          <w:color w:val="000000"/>
          <w:szCs w:val="24"/>
        </w:rPr>
        <w:t>IRS.</w:t>
      </w:r>
      <w:proofErr w:type="gramEnd"/>
      <w:r w:rsidRPr="006B454A">
        <w:rPr>
          <w:rFonts w:eastAsia="Times New Roman" w:cs="Times New Roman"/>
          <w:color w:val="000000"/>
          <w:szCs w:val="24"/>
        </w:rPr>
        <w:t xml:space="preserve"> </w:t>
      </w:r>
      <w:proofErr w:type="gramStart"/>
      <w:r w:rsidRPr="006B454A">
        <w:rPr>
          <w:rFonts w:eastAsia="Times New Roman" w:cs="Times New Roman"/>
          <w:color w:val="000000"/>
          <w:szCs w:val="24"/>
        </w:rPr>
        <w:t>(</w:t>
      </w:r>
      <w:proofErr w:type="spellStart"/>
      <w:r w:rsidRPr="006B454A">
        <w:rPr>
          <w:rFonts w:eastAsia="Times New Roman" w:cs="Times New Roman"/>
          <w:color w:val="000000"/>
          <w:szCs w:val="24"/>
        </w:rPr>
        <w:t>n.d.</w:t>
      </w:r>
      <w:proofErr w:type="spellEnd"/>
      <w:r w:rsidRPr="006B454A">
        <w:rPr>
          <w:rFonts w:eastAsia="Times New Roman" w:cs="Times New Roman"/>
          <w:color w:val="000000"/>
          <w:szCs w:val="24"/>
        </w:rPr>
        <w:t>).</w:t>
      </w:r>
      <w:proofErr w:type="gramEnd"/>
      <w:r w:rsidRPr="006B454A">
        <w:rPr>
          <w:rFonts w:eastAsia="Times New Roman" w:cs="Times New Roman"/>
          <w:color w:val="000000"/>
          <w:szCs w:val="24"/>
        </w:rPr>
        <w:t xml:space="preserve"> </w:t>
      </w:r>
      <w:proofErr w:type="gramStart"/>
      <w:r w:rsidRPr="006B454A">
        <w:rPr>
          <w:rFonts w:eastAsia="Times New Roman" w:cs="Times New Roman"/>
          <w:color w:val="000000"/>
          <w:szCs w:val="24"/>
        </w:rPr>
        <w:t>Understanding employee vs. contractor designation.</w:t>
      </w:r>
      <w:proofErr w:type="gramEnd"/>
      <w:r w:rsidRPr="006B454A">
        <w:rPr>
          <w:rFonts w:eastAsia="Times New Roman" w:cs="Times New Roman"/>
          <w:color w:val="000000"/>
          <w:szCs w:val="24"/>
        </w:rPr>
        <w:t xml:space="preserve"> Retrieved September 12, 2019, from </w:t>
      </w:r>
      <w:hyperlink r:id="rId8" w:history="1">
        <w:r w:rsidRPr="004E4780">
          <w:rPr>
            <w:rStyle w:val="Hyperlink"/>
            <w:rFonts w:eastAsia="Times New Roman" w:cs="Times New Roman"/>
            <w:szCs w:val="24"/>
          </w:rPr>
          <w:t>https://www.irs.gov/newsroom/understanding-employee-vs-contractor-designation</w:t>
        </w:r>
      </w:hyperlink>
      <w:r>
        <w:rPr>
          <w:rFonts w:eastAsia="Times New Roman" w:cs="Times New Roman"/>
          <w:color w:val="000000"/>
          <w:szCs w:val="24"/>
        </w:rPr>
        <w:t xml:space="preserve"> </w:t>
      </w:r>
    </w:p>
    <w:p w:rsidR="00FA6F1B" w:rsidRPr="006B454A" w:rsidRDefault="00FA6F1B" w:rsidP="006B45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hanging="720"/>
        <w:rPr>
          <w:rFonts w:eastAsia="Times New Roman" w:cs="Times New Roman"/>
          <w:color w:val="000000"/>
          <w:szCs w:val="24"/>
        </w:rPr>
      </w:pPr>
      <w:proofErr w:type="gramStart"/>
      <w:r w:rsidRPr="006B454A">
        <w:rPr>
          <w:rFonts w:eastAsia="Times New Roman" w:cs="Times New Roman"/>
          <w:color w:val="000000"/>
          <w:szCs w:val="24"/>
        </w:rPr>
        <w:t>Kenton, W. (2019).</w:t>
      </w:r>
      <w:proofErr w:type="gramEnd"/>
      <w:r w:rsidRPr="006B454A">
        <w:rPr>
          <w:rFonts w:eastAsia="Times New Roman" w:cs="Times New Roman"/>
          <w:color w:val="000000"/>
          <w:szCs w:val="24"/>
        </w:rPr>
        <w:t xml:space="preserve"> Equal Employment Opportunity Commission (EEOC). Retrieved from </w:t>
      </w:r>
      <w:hyperlink r:id="rId9" w:history="1">
        <w:r w:rsidRPr="004E4780">
          <w:rPr>
            <w:rStyle w:val="Hyperlink"/>
            <w:rFonts w:eastAsia="Times New Roman" w:cs="Times New Roman"/>
            <w:szCs w:val="24"/>
          </w:rPr>
          <w:t>https://www.investopedia.com/terms/e/equal-employment-opportunity-commission-eeoc.asp</w:t>
        </w:r>
      </w:hyperlink>
      <w:r>
        <w:rPr>
          <w:rFonts w:eastAsia="Times New Roman" w:cs="Times New Roman"/>
          <w:color w:val="000000"/>
          <w:szCs w:val="24"/>
        </w:rPr>
        <w:t xml:space="preserve"> </w:t>
      </w:r>
    </w:p>
    <w:p w:rsidR="00FA6F1B" w:rsidRPr="006B454A" w:rsidRDefault="00FA6F1B" w:rsidP="006B45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hanging="720"/>
        <w:rPr>
          <w:rFonts w:eastAsia="Times New Roman" w:cs="Times New Roman"/>
          <w:color w:val="000000"/>
          <w:szCs w:val="24"/>
        </w:rPr>
      </w:pPr>
      <w:proofErr w:type="gramStart"/>
      <w:r w:rsidRPr="006B454A">
        <w:rPr>
          <w:rFonts w:eastAsia="Times New Roman" w:cs="Times New Roman"/>
          <w:color w:val="000000"/>
          <w:szCs w:val="24"/>
        </w:rPr>
        <w:t>MBO Partners.</w:t>
      </w:r>
      <w:proofErr w:type="gramEnd"/>
      <w:r w:rsidRPr="006B454A">
        <w:rPr>
          <w:rFonts w:eastAsia="Times New Roman" w:cs="Times New Roman"/>
          <w:color w:val="000000"/>
          <w:szCs w:val="24"/>
        </w:rPr>
        <w:t xml:space="preserve"> (2019, April 17). Independent contractor </w:t>
      </w:r>
      <w:proofErr w:type="spellStart"/>
      <w:r w:rsidRPr="006B454A">
        <w:rPr>
          <w:rFonts w:eastAsia="Times New Roman" w:cs="Times New Roman"/>
          <w:color w:val="000000"/>
          <w:szCs w:val="24"/>
        </w:rPr>
        <w:t>vs</w:t>
      </w:r>
      <w:proofErr w:type="spellEnd"/>
      <w:r w:rsidRPr="006B454A">
        <w:rPr>
          <w:rFonts w:eastAsia="Times New Roman" w:cs="Times New Roman"/>
          <w:color w:val="000000"/>
          <w:szCs w:val="24"/>
        </w:rPr>
        <w:t xml:space="preserve"> employee: 10 key differences for classifying workers [Blog post]. Retrieved from </w:t>
      </w:r>
      <w:hyperlink r:id="rId10" w:history="1">
        <w:r w:rsidRPr="004E4780">
          <w:rPr>
            <w:rStyle w:val="Hyperlink"/>
            <w:rFonts w:eastAsia="Times New Roman" w:cs="Times New Roman"/>
            <w:szCs w:val="24"/>
          </w:rPr>
          <w:t>https://www.mbopartners.com/blog/misclassification-compliance/10-differences-between-independent-contractors-and-employees/</w:t>
        </w:r>
      </w:hyperlink>
      <w:r>
        <w:rPr>
          <w:rFonts w:eastAsia="Times New Roman" w:cs="Times New Roman"/>
          <w:color w:val="000000"/>
          <w:szCs w:val="24"/>
        </w:rPr>
        <w:t xml:space="preserve"> </w:t>
      </w:r>
    </w:p>
    <w:p w:rsidR="00FA6F1B" w:rsidRPr="006B454A" w:rsidRDefault="00FA6F1B" w:rsidP="006B45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hanging="720"/>
        <w:rPr>
          <w:rFonts w:eastAsia="Times New Roman" w:cs="Times New Roman"/>
          <w:color w:val="000000"/>
          <w:szCs w:val="24"/>
        </w:rPr>
      </w:pPr>
      <w:proofErr w:type="gramStart"/>
      <w:r w:rsidRPr="006B454A">
        <w:rPr>
          <w:rFonts w:eastAsia="Times New Roman" w:cs="Times New Roman"/>
          <w:color w:val="000000"/>
          <w:szCs w:val="24"/>
        </w:rPr>
        <w:t>Office of Child Support Enforcement.</w:t>
      </w:r>
      <w:proofErr w:type="gramEnd"/>
      <w:r w:rsidRPr="006B454A">
        <w:rPr>
          <w:rFonts w:eastAsia="Times New Roman" w:cs="Times New Roman"/>
          <w:color w:val="000000"/>
          <w:szCs w:val="24"/>
        </w:rPr>
        <w:t xml:space="preserve"> (2018). </w:t>
      </w:r>
      <w:proofErr w:type="gramStart"/>
      <w:r w:rsidRPr="006B454A">
        <w:rPr>
          <w:rFonts w:eastAsia="Times New Roman" w:cs="Times New Roman"/>
          <w:color w:val="000000"/>
          <w:szCs w:val="24"/>
        </w:rPr>
        <w:t>What’s</w:t>
      </w:r>
      <w:proofErr w:type="gramEnd"/>
      <w:r w:rsidRPr="006B454A">
        <w:rPr>
          <w:rFonts w:eastAsia="Times New Roman" w:cs="Times New Roman"/>
          <w:color w:val="000000"/>
          <w:szCs w:val="24"/>
        </w:rPr>
        <w:t xml:space="preserve"> the difference between an independent contractor and an employee? Retrieved from </w:t>
      </w:r>
      <w:hyperlink r:id="rId11" w:history="1">
        <w:r w:rsidRPr="004E4780">
          <w:rPr>
            <w:rStyle w:val="Hyperlink"/>
            <w:rFonts w:eastAsia="Times New Roman" w:cs="Times New Roman"/>
            <w:szCs w:val="24"/>
          </w:rPr>
          <w:t>https://www.acf.hhs.gov/css/resource/the-difference-between-an-independent-contractor-and-an-employee</w:t>
        </w:r>
      </w:hyperlink>
      <w:r>
        <w:rPr>
          <w:rFonts w:eastAsia="Times New Roman" w:cs="Times New Roman"/>
          <w:color w:val="000000"/>
          <w:szCs w:val="24"/>
        </w:rPr>
        <w:t xml:space="preserve"> </w:t>
      </w:r>
    </w:p>
    <w:p w:rsidR="00C61DEB" w:rsidRPr="006B454A" w:rsidRDefault="00C61DEB" w:rsidP="006B45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hanging="720"/>
        <w:rPr>
          <w:rFonts w:eastAsia="Times New Roman" w:cs="Times New Roman"/>
          <w:color w:val="000000"/>
          <w:szCs w:val="24"/>
        </w:rPr>
      </w:pPr>
    </w:p>
    <w:p w:rsidR="00C61DEB" w:rsidRPr="00C61DEB" w:rsidRDefault="00C61DEB" w:rsidP="00C61DEB">
      <w:pPr>
        <w:rPr>
          <w:rFonts w:cs="Times New Roman"/>
          <w:b/>
        </w:rPr>
      </w:pPr>
    </w:p>
    <w:sectPr w:rsidR="00C61DEB" w:rsidRPr="00C61DEB" w:rsidSect="000353A4">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6338" w:rsidRDefault="005B6338" w:rsidP="000353A4">
      <w:pPr>
        <w:spacing w:line="240" w:lineRule="auto"/>
      </w:pPr>
      <w:r>
        <w:separator/>
      </w:r>
    </w:p>
  </w:endnote>
  <w:endnote w:type="continuationSeparator" w:id="0">
    <w:p w:rsidR="005B6338" w:rsidRDefault="005B6338" w:rsidP="000353A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6338" w:rsidRDefault="005B6338" w:rsidP="000353A4">
      <w:pPr>
        <w:spacing w:line="240" w:lineRule="auto"/>
      </w:pPr>
      <w:r>
        <w:separator/>
      </w:r>
    </w:p>
  </w:footnote>
  <w:footnote w:type="continuationSeparator" w:id="0">
    <w:p w:rsidR="005B6338" w:rsidRDefault="005B6338" w:rsidP="000353A4">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1DEB" w:rsidRDefault="00C61DEB">
    <w:pPr>
      <w:pStyle w:val="Header"/>
      <w:jc w:val="right"/>
    </w:pPr>
    <w:r>
      <w:t xml:space="preserve">EQUAL EMPLOYMENT OPPORTUNITY COMMISSION                                                  </w:t>
    </w:r>
    <w:sdt>
      <w:sdtPr>
        <w:id w:val="124584511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91892">
          <w:rPr>
            <w:noProof/>
          </w:rPr>
          <w:t>5</w:t>
        </w:r>
        <w:r>
          <w:rPr>
            <w:noProof/>
          </w:rPr>
          <w:fldChar w:fldCharType="end"/>
        </w:r>
      </w:sdtContent>
    </w:sdt>
  </w:p>
  <w:p w:rsidR="00C61DEB" w:rsidRDefault="00C61DE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1DEB" w:rsidRDefault="00C61DEB">
    <w:pPr>
      <w:pStyle w:val="Header"/>
      <w:jc w:val="right"/>
    </w:pPr>
    <w:r>
      <w:tab/>
      <w:t xml:space="preserve">Running head: EQUAL EMPLOYMENT OPPORTUNITY COMMISSION                               </w:t>
    </w:r>
    <w:sdt>
      <w:sdtPr>
        <w:id w:val="19396866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91892">
          <w:rPr>
            <w:noProof/>
          </w:rPr>
          <w:t>1</w:t>
        </w:r>
        <w:r>
          <w:rPr>
            <w:noProof/>
          </w:rPr>
          <w:fldChar w:fldCharType="end"/>
        </w:r>
      </w:sdtContent>
    </w:sdt>
  </w:p>
  <w:p w:rsidR="00C61DEB" w:rsidRDefault="00C61DE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53A4"/>
    <w:rsid w:val="000353A4"/>
    <w:rsid w:val="00591892"/>
    <w:rsid w:val="005B6338"/>
    <w:rsid w:val="005C172E"/>
    <w:rsid w:val="0069439B"/>
    <w:rsid w:val="006B454A"/>
    <w:rsid w:val="00700396"/>
    <w:rsid w:val="007F64F3"/>
    <w:rsid w:val="00902464"/>
    <w:rsid w:val="00A66241"/>
    <w:rsid w:val="00C06B69"/>
    <w:rsid w:val="00C61DEB"/>
    <w:rsid w:val="00DD639B"/>
    <w:rsid w:val="00F908AD"/>
    <w:rsid w:val="00FA6F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53A4"/>
    <w:pPr>
      <w:tabs>
        <w:tab w:val="center" w:pos="4680"/>
        <w:tab w:val="right" w:pos="9360"/>
      </w:tabs>
      <w:spacing w:line="240" w:lineRule="auto"/>
    </w:pPr>
  </w:style>
  <w:style w:type="character" w:customStyle="1" w:styleId="HeaderChar">
    <w:name w:val="Header Char"/>
    <w:basedOn w:val="DefaultParagraphFont"/>
    <w:link w:val="Header"/>
    <w:uiPriority w:val="99"/>
    <w:rsid w:val="000353A4"/>
  </w:style>
  <w:style w:type="paragraph" w:styleId="Footer">
    <w:name w:val="footer"/>
    <w:basedOn w:val="Normal"/>
    <w:link w:val="FooterChar"/>
    <w:uiPriority w:val="99"/>
    <w:unhideWhenUsed/>
    <w:rsid w:val="000353A4"/>
    <w:pPr>
      <w:tabs>
        <w:tab w:val="center" w:pos="4680"/>
        <w:tab w:val="right" w:pos="9360"/>
      </w:tabs>
      <w:spacing w:line="240" w:lineRule="auto"/>
    </w:pPr>
  </w:style>
  <w:style w:type="character" w:customStyle="1" w:styleId="FooterChar">
    <w:name w:val="Footer Char"/>
    <w:basedOn w:val="DefaultParagraphFont"/>
    <w:link w:val="Footer"/>
    <w:uiPriority w:val="99"/>
    <w:rsid w:val="000353A4"/>
  </w:style>
  <w:style w:type="character" w:styleId="Hyperlink">
    <w:name w:val="Hyperlink"/>
    <w:basedOn w:val="DefaultParagraphFont"/>
    <w:uiPriority w:val="99"/>
    <w:unhideWhenUsed/>
    <w:rsid w:val="006B454A"/>
    <w:rPr>
      <w:color w:val="0000FF" w:themeColor="hyperlink"/>
      <w:u w:val="single"/>
    </w:rPr>
  </w:style>
  <w:style w:type="paragraph" w:styleId="NormalWeb">
    <w:name w:val="Normal (Web)"/>
    <w:basedOn w:val="Normal"/>
    <w:uiPriority w:val="99"/>
    <w:semiHidden/>
    <w:unhideWhenUsed/>
    <w:rsid w:val="006B454A"/>
    <w:pPr>
      <w:spacing w:before="100" w:beforeAutospacing="1" w:after="100" w:afterAutospacing="1" w:line="240" w:lineRule="auto"/>
    </w:pPr>
    <w:rPr>
      <w:rFonts w:eastAsia="Times New Roman" w:cs="Times New Roman"/>
      <w:szCs w:val="24"/>
    </w:rPr>
  </w:style>
  <w:style w:type="character" w:styleId="Strong">
    <w:name w:val="Strong"/>
    <w:basedOn w:val="DefaultParagraphFont"/>
    <w:uiPriority w:val="22"/>
    <w:qFormat/>
    <w:rsid w:val="006B454A"/>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53A4"/>
    <w:pPr>
      <w:tabs>
        <w:tab w:val="center" w:pos="4680"/>
        <w:tab w:val="right" w:pos="9360"/>
      </w:tabs>
      <w:spacing w:line="240" w:lineRule="auto"/>
    </w:pPr>
  </w:style>
  <w:style w:type="character" w:customStyle="1" w:styleId="HeaderChar">
    <w:name w:val="Header Char"/>
    <w:basedOn w:val="DefaultParagraphFont"/>
    <w:link w:val="Header"/>
    <w:uiPriority w:val="99"/>
    <w:rsid w:val="000353A4"/>
  </w:style>
  <w:style w:type="paragraph" w:styleId="Footer">
    <w:name w:val="footer"/>
    <w:basedOn w:val="Normal"/>
    <w:link w:val="FooterChar"/>
    <w:uiPriority w:val="99"/>
    <w:unhideWhenUsed/>
    <w:rsid w:val="000353A4"/>
    <w:pPr>
      <w:tabs>
        <w:tab w:val="center" w:pos="4680"/>
        <w:tab w:val="right" w:pos="9360"/>
      </w:tabs>
      <w:spacing w:line="240" w:lineRule="auto"/>
    </w:pPr>
  </w:style>
  <w:style w:type="character" w:customStyle="1" w:styleId="FooterChar">
    <w:name w:val="Footer Char"/>
    <w:basedOn w:val="DefaultParagraphFont"/>
    <w:link w:val="Footer"/>
    <w:uiPriority w:val="99"/>
    <w:rsid w:val="000353A4"/>
  </w:style>
  <w:style w:type="character" w:styleId="Hyperlink">
    <w:name w:val="Hyperlink"/>
    <w:basedOn w:val="DefaultParagraphFont"/>
    <w:uiPriority w:val="99"/>
    <w:unhideWhenUsed/>
    <w:rsid w:val="006B454A"/>
    <w:rPr>
      <w:color w:val="0000FF" w:themeColor="hyperlink"/>
      <w:u w:val="single"/>
    </w:rPr>
  </w:style>
  <w:style w:type="paragraph" w:styleId="NormalWeb">
    <w:name w:val="Normal (Web)"/>
    <w:basedOn w:val="Normal"/>
    <w:uiPriority w:val="99"/>
    <w:semiHidden/>
    <w:unhideWhenUsed/>
    <w:rsid w:val="006B454A"/>
    <w:pPr>
      <w:spacing w:before="100" w:beforeAutospacing="1" w:after="100" w:afterAutospacing="1" w:line="240" w:lineRule="auto"/>
    </w:pPr>
    <w:rPr>
      <w:rFonts w:eastAsia="Times New Roman" w:cs="Times New Roman"/>
      <w:szCs w:val="24"/>
    </w:rPr>
  </w:style>
  <w:style w:type="character" w:styleId="Strong">
    <w:name w:val="Strong"/>
    <w:basedOn w:val="DefaultParagraphFont"/>
    <w:uiPriority w:val="22"/>
    <w:qFormat/>
    <w:rsid w:val="006B454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1645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rs.gov/newsroom/understanding-employee-vs-contractor-designation"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www.hrmorning.com/articles/eeocs-new-database-could-be-a-useful-tool-for-hr/" TargetMode="External"/><Relationship Id="rId12"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www.acf.hhs.gov/css/resource/the-difference-between-an-independent-contractor-and-an-employee"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mbopartners.com/blog/misclassification-compliance/10-differences-between-independent-contractors-and-employees/" TargetMode="External"/><Relationship Id="rId4" Type="http://schemas.openxmlformats.org/officeDocument/2006/relationships/webSettings" Target="webSettings.xml"/><Relationship Id="rId9" Type="http://schemas.openxmlformats.org/officeDocument/2006/relationships/hyperlink" Target="https://www.investopedia.com/terms/e/equal-employment-opportunity-commission-eeoc.asp"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TotalTime>
  <Pages>5</Pages>
  <Words>893</Words>
  <Characters>5091</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Editor</dc:creator>
  <cp:lastModifiedBy>Kamande</cp:lastModifiedBy>
  <cp:revision>2</cp:revision>
  <dcterms:created xsi:type="dcterms:W3CDTF">2020-03-02T09:00:00Z</dcterms:created>
  <dcterms:modified xsi:type="dcterms:W3CDTF">2020-03-03T03:26:00Z</dcterms:modified>
</cp:coreProperties>
</file>